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340"/>
        <w:gridCol w:w="2520"/>
        <w:gridCol w:w="2310"/>
        <w:gridCol w:w="3270"/>
        <w:tblGridChange w:id="0">
          <w:tblGrid>
            <w:gridCol w:w="2340"/>
            <w:gridCol w:w="2520"/>
            <w:gridCol w:w="2310"/>
            <w:gridCol w:w="3270"/>
          </w:tblGrid>
        </w:tblGridChange>
      </w:tblGrid>
      <w:tr>
        <w:trPr>
          <w:cantSplit w:val="0"/>
          <w:trHeight w:val="738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c0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Treasurer’s Report -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 June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c0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July 15,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202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Board Meeting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eaea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Fiscal Year 202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2"/>
                <w:szCs w:val="22"/>
                <w:rtl w:val="0"/>
              </w:rPr>
              <w:t xml:space="preserve">5-2026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Approved Budget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$4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2"/>
                <w:szCs w:val="22"/>
                <w:rtl w:val="0"/>
              </w:rPr>
              <w:t xml:space="preserve">74,920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Operating Account   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Capital Improvement  Account   =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Checking Funds (as of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 6/30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efe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Investment Account (T-Bills)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(mkt value as of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7/14/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$29,000.07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40,271.53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$69,271.60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16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382,320.93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6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16" w:val="single"/>
              <w:bottom w:color="000000" w:space="0" w:sz="16" w:val="single"/>
              <w:right w:color="000000" w:space="0" w:sz="4" w:val="single"/>
            </w:tcBorders>
            <w:shd w:fill="bfbf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4" w:val="single"/>
              <w:bottom w:color="000000" w:space="0" w:sz="16" w:val="single"/>
              <w:right w:color="000000" w:space="0" w:sz="16" w:val="single"/>
            </w:tcBorders>
            <w:shd w:fill="bfbf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nv. Returns =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60,621.75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(since inception)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Inv Returns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1 Yr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=$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18,848.73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6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16" w:val="single"/>
              <w:bottom w:color="000000" w:space="0" w:sz="0" w:val="nil"/>
              <w:right w:color="000000" w:space="0" w:sz="4" w:val="single"/>
            </w:tcBorders>
            <w:shd w:fill="bfbf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Library Funds 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4" w:val="single"/>
              <w:bottom w:color="000000" w:space="0" w:sz="0" w:val="nil"/>
              <w:right w:color="000000" w:space="0" w:sz="16" w:val="single"/>
            </w:tcBorders>
            <w:shd w:fill="bfbf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$451,592.53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6" w:val="single"/>
              <w:bottom w:color="000000" w:space="0" w:sz="16" w:val="single"/>
              <w:right w:color="000000" w:space="0" w:sz="16" w:val="single"/>
            </w:tcBorders>
            <w:shd w:fill="c0c0c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(Total Checking plus Investment Account)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June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Revenue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Revenue YTD             July ’2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June ‘26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Revenue YTD         July ’2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4-June ‘25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 % of budgeted revenue goal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3,643.53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$4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98,781.80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468,419.23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105%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June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Expenses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Expenses YTD           July ’2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June ‘26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Expenses YTD        July ’2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4-June ‘25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 % of budgeted expenses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39,255.88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$491,612.60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480,318.67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103.5%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Upcoming Projected/Completed Fundraising Revenue: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Farmer’s Market (J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une/July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202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$400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Gift of Art Dec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$2,829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Spotlight Auctions</w:t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Annual Appeal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Donations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$5,991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Book Sale 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$851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May Craft Fair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May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$867 (+$245 merch sales)</w:t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Pumpkin Decorating Oct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$167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Spring Book Fair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May 31-June 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ee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$714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Additional Notes: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Piermont Village Tax levy - July 2025 $307,754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Capital Improvement expense - August 2025, $16,837.50 (8 computers and labor)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Donation received from Spitzer Charitable Trust - Sept 2025 $25,000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School District funds - Nov 2025 $101,538.66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Transfer from LPL Investment account to Operating account - $70k, Jan 2026</w:t>
      </w: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22"/>
          <w:szCs w:val="22"/>
          <w:rtl w:val="0"/>
        </w:rPr>
        <w:t xml:space="preserve"> (cont.)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Transfer from LPL Investment account to Operating/Capital Improvement account - $120k April 2026 ($50k to Operating)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Donation received from Spitzer Charitable Trust - May 2026 $25,000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*</w:t>
      </w: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22"/>
          <w:szCs w:val="22"/>
          <w:rtl w:val="0"/>
        </w:rPr>
        <w:t xml:space="preserve">Note for next fiscal year 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- July 2026 Piermont Village Tax levy $313,910.00</w:t>
      </w:r>
    </w:p>
    <w:sectPr>
      <w:headerReference r:id="rId6" w:type="default"/>
      <w:footerReference r:id="rId7" w:type="default"/>
      <w:pgSz w:h="15840" w:w="12240" w:orient="portrait"/>
      <w:pgMar w:bottom="1080" w:top="1080" w:left="720" w:right="5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