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40.0" w:type="dxa"/>
        <w:jc w:val="left"/>
        <w:tblInd w:w="216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2340"/>
        <w:gridCol w:w="2520"/>
        <w:gridCol w:w="2310"/>
        <w:gridCol w:w="3270"/>
        <w:tblGridChange w:id="0">
          <w:tblGrid>
            <w:gridCol w:w="2340"/>
            <w:gridCol w:w="2520"/>
            <w:gridCol w:w="2310"/>
            <w:gridCol w:w="3270"/>
          </w:tblGrid>
        </w:tblGridChange>
      </w:tblGrid>
      <w:tr>
        <w:trPr>
          <w:cantSplit w:val="0"/>
          <w:trHeight w:val="738" w:hRule="atLeast"/>
          <w:tblHeader w:val="1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c0b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Treasurer’s Report -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September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202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c0b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October 15,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202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Board Meeting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eaea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Fiscal Year 202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2"/>
                <w:szCs w:val="22"/>
                <w:rtl w:val="0"/>
              </w:rPr>
              <w:t xml:space="preserve">5-2026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Approved Budget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$4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2"/>
                <w:szCs w:val="22"/>
                <w:rtl w:val="0"/>
              </w:rPr>
              <w:t xml:space="preserve">74,920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Operating Account   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Capital Improvement  Account   =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 Checking Funds (as of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 9/30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/2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fefef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Investment Account (T-Bills)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(mkt value as of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10/14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/2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$63,760.29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10,271.53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6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$74,031.82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16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569,600.93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6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left w:color="000000" w:space="0" w:sz="16" w:val="single"/>
              <w:bottom w:color="000000" w:space="0" w:sz="16" w:val="single"/>
              <w:right w:color="000000" w:space="0" w:sz="4" w:val="single"/>
            </w:tcBorders>
            <w:shd w:fill="bfbfb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left w:color="000000" w:space="0" w:sz="4" w:val="single"/>
              <w:bottom w:color="000000" w:space="0" w:sz="16" w:val="single"/>
              <w:right w:color="000000" w:space="0" w:sz="16" w:val="single"/>
            </w:tcBorders>
            <w:shd w:fill="bfbfb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nv. Returns =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47,809.00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(since inception)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Inv Returns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1 Yr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=$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21,514.31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6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left w:color="000000" w:space="0" w:sz="16" w:val="single"/>
              <w:bottom w:color="000000" w:space="0" w:sz="0" w:val="nil"/>
              <w:right w:color="000000" w:space="0" w:sz="4" w:val="single"/>
            </w:tcBorders>
            <w:shd w:fill="bfbfb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 Library Funds 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left w:color="000000" w:space="0" w:sz="4" w:val="single"/>
              <w:bottom w:color="000000" w:space="0" w:sz="0" w:val="nil"/>
              <w:right w:color="000000" w:space="0" w:sz="16" w:val="single"/>
            </w:tcBorders>
            <w:shd w:fill="bfbfb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1"/>
                <w:sz w:val="20"/>
                <w:szCs w:val="20"/>
                <w:rtl w:val="0"/>
              </w:rPr>
              <w:t xml:space="preserve">643,632.75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16" w:val="single"/>
              <w:bottom w:color="000000" w:space="0" w:sz="16" w:val="single"/>
              <w:right w:color="000000" w:space="0" w:sz="16" w:val="single"/>
            </w:tcBorders>
            <w:shd w:fill="c0c0c0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(Total Checking plus Investment Account)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Sept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Revenue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Revenue YTD             July ’2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Sept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‘2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Revenue YTD         July ’2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4-Sept ‘24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Current % of budgeted revenue goal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27,456.99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337,943.15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307,856.85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71.2%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Sept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Expenses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Expenses YTD           July ’2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Sept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‘2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Expenses YTD        July ’2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3-Sept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‘2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Current % of budgeted expenses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36,928.20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$122,887.95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104,917.66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25.8%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Upcoming Projected/Completed Fundraising Revenue: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Farmer’s Market (J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une/July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202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Gift of Art Dec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Spotlight Auctions</w:t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Annual Appeal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Donations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Book Sale Nov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Spring Book Sale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Pumpkin Decorating Oct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Craft Fair May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Notes: 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Piermont Village Tax levy - July 2025 $307,754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sz w:val="22"/>
          <w:szCs w:val="22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Capital Improvement expense - August 2025, $16,837.50 (8 computers and labor)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sz w:val="22"/>
          <w:szCs w:val="22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Donation received from Spitzer Charitable Trust - Sept 2025 $25,000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080" w:top="1080" w:left="720" w:right="540" w:header="720" w:footer="86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